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111111"/>
          <w:sz w:val="36"/>
          <w:szCs w:val="36"/>
        </w:rPr>
        <w:t xml:space="preserve">DATA PROCESSING AGREEMENT</w:t>
      </w:r>
    </w:p>
    <w:p>
      <w:pPr>
        <w:spacing w:after="240"/>
        <w:jc w:val="center"/>
      </w:pPr>
      <w:r>
        <w:rPr>
          <w:rFonts w:ascii="Arial" w:cs="Arial" w:eastAsia="Arial" w:hAnsi="Arial"/>
          <w:color w:val="444444"/>
          <w:sz w:val="22"/>
          <w:szCs w:val="22"/>
        </w:rPr>
        <w:t xml:space="preserve">Effective Date: ____________________________</w:t>
      </w:r>
    </w:p>
    <w:p>
      <w:pPr>
        <w:spacing w:after="120"/>
      </w:pPr>
      <w:r>
        <w:rPr>
          <w:rFonts w:ascii="Arial" w:cs="Arial" w:eastAsia="Arial" w:hAnsi="Arial"/>
          <w:b w:val="false"/>
          <w:bCs w:val="false"/>
          <w:i w:val="false"/>
          <w:iCs w:val="false"/>
          <w:color w:val="111111"/>
          <w:sz w:val="22"/>
          <w:szCs w:val="22"/>
        </w:rPr>
        <w:t xml:space="preserve">This Data Processing Agreement (“DPA”) supplements the Terms of Service or Master Services Agreement entered into between PlanCheckNow (“Processor”) and the customer identified in the signature block (“Controller”). It governs Processor’s processing of personal data on behalf of Controller in connection with the PlanCheckNow service.</w:t>
      </w:r>
    </w:p>
    <w:p>
      <w:pPr>
        <w:pStyle w:val="Heading1"/>
        <w:spacing w:after="160" w:before="240"/>
      </w:pPr>
      <w:r>
        <w:rPr>
          <w:rFonts w:ascii="Arial" w:cs="Arial" w:eastAsia="Arial" w:hAnsi="Arial"/>
          <w:b/>
          <w:bCs/>
          <w:color w:val="111111"/>
          <w:sz w:val="32"/>
          <w:szCs w:val="32"/>
        </w:rPr>
        <w:t xml:space="preserve">1. Definitions</w:t>
      </w:r>
    </w:p>
    <w:p>
      <w:pPr>
        <w:spacing w:after="120"/>
      </w:pPr>
      <w:r>
        <w:rPr>
          <w:rFonts w:ascii="Arial" w:cs="Arial" w:eastAsia="Arial" w:hAnsi="Arial"/>
          <w:b w:val="false"/>
          <w:bCs w:val="false"/>
          <w:i w:val="false"/>
          <w:iCs w:val="false"/>
          <w:color w:val="111111"/>
          <w:sz w:val="22"/>
          <w:szCs w:val="22"/>
        </w:rPr>
        <w:t xml:space="preserve">Capitalized terms not defined here have the meaning given in the underlying agreement, in the GDPR (Regulation (EU) 2016/679), or in the CCPA (Cal. Civ. Code § 1798.100 et seq.), as applicable.</w:t>
      </w:r>
    </w:p>
    <w:p>
      <w:pPr>
        <w:spacing w:after="120"/>
      </w:pPr>
      <w:r>
        <w:rPr>
          <w:rFonts w:ascii="Arial" w:cs="Arial" w:eastAsia="Arial" w:hAnsi="Arial"/>
          <w:b/>
          <w:bCs/>
          <w:color w:val="111111"/>
          <w:sz w:val="22"/>
          <w:szCs w:val="22"/>
        </w:rPr>
        <w:t xml:space="preserve">“Controller”, “Processor”, “Sub-Processor”, “Data Subject”, “Personal Data”, “Processing” </w:t>
      </w:r>
      <w:r>
        <w:rPr>
          <w:rFonts w:ascii="Arial" w:cs="Arial" w:eastAsia="Arial" w:hAnsi="Arial"/>
          <w:color w:val="111111"/>
          <w:sz w:val="22"/>
          <w:szCs w:val="22"/>
        </w:rPr>
        <w:t xml:space="preserve">have the meanings given in the GDPR.</w:t>
      </w:r>
    </w:p>
    <w:p>
      <w:pPr>
        <w:spacing w:after="120"/>
      </w:pPr>
      <w:r>
        <w:rPr>
          <w:rFonts w:ascii="Arial" w:cs="Arial" w:eastAsia="Arial" w:hAnsi="Arial"/>
          <w:b/>
          <w:bCs/>
          <w:color w:val="111111"/>
          <w:sz w:val="22"/>
          <w:szCs w:val="22"/>
        </w:rPr>
        <w:t xml:space="preserve">“Customer Personal Data” </w:t>
      </w:r>
      <w:r>
        <w:rPr>
          <w:rFonts w:ascii="Arial" w:cs="Arial" w:eastAsia="Arial" w:hAnsi="Arial"/>
          <w:color w:val="111111"/>
          <w:sz w:val="22"/>
          <w:szCs w:val="22"/>
        </w:rPr>
        <w:t xml:space="preserve">means Personal Data that Processor processes on behalf of Controller as a result of Controller's use of the PlanCheckNow service.</w:t>
      </w:r>
    </w:p>
    <w:p>
      <w:pPr>
        <w:spacing w:after="120"/>
      </w:pPr>
      <w:r>
        <w:rPr>
          <w:rFonts w:ascii="Arial" w:cs="Arial" w:eastAsia="Arial" w:hAnsi="Arial"/>
          <w:b/>
          <w:bCs/>
          <w:color w:val="111111"/>
          <w:sz w:val="22"/>
          <w:szCs w:val="22"/>
        </w:rPr>
        <w:t xml:space="preserve">“Business” and “Service Provider” </w:t>
      </w:r>
      <w:r>
        <w:rPr>
          <w:rFonts w:ascii="Arial" w:cs="Arial" w:eastAsia="Arial" w:hAnsi="Arial"/>
          <w:color w:val="111111"/>
          <w:sz w:val="22"/>
          <w:szCs w:val="22"/>
        </w:rPr>
        <w:t xml:space="preserve">have the meanings given in the CCPA.</w:t>
      </w:r>
    </w:p>
    <w:p>
      <w:pPr>
        <w:pStyle w:val="Heading1"/>
        <w:spacing w:after="160" w:before="240"/>
      </w:pPr>
      <w:r>
        <w:rPr>
          <w:rFonts w:ascii="Arial" w:cs="Arial" w:eastAsia="Arial" w:hAnsi="Arial"/>
          <w:b/>
          <w:bCs/>
          <w:color w:val="111111"/>
          <w:sz w:val="32"/>
          <w:szCs w:val="32"/>
        </w:rPr>
        <w:t xml:space="preserve">2. Roles and Scope</w:t>
      </w:r>
    </w:p>
    <w:p>
      <w:pPr>
        <w:spacing w:after="120"/>
      </w:pPr>
      <w:r>
        <w:rPr>
          <w:rFonts w:ascii="Arial" w:cs="Arial" w:eastAsia="Arial" w:hAnsi="Arial"/>
          <w:b w:val="false"/>
          <w:bCs w:val="false"/>
          <w:i w:val="false"/>
          <w:iCs w:val="false"/>
          <w:color w:val="111111"/>
          <w:sz w:val="22"/>
          <w:szCs w:val="22"/>
        </w:rPr>
        <w:t xml:space="preserve">Controller is the “Controller” (GDPR) and “Business” (CCPA) of Customer Personal Data. Processor processes Customer Personal Data only as a “Processor” (GDPR) and “Service Provider” (CCPA) on Controller’s documented instructions, which are: (a) the underlying agreement, (b) the PlanCheckNow product as configured by Controller, and (c) any further written instructions reasonably agreed between the parties.</w:t>
      </w:r>
    </w:p>
    <w:p>
      <w:pPr>
        <w:spacing w:after="120"/>
      </w:pPr>
      <w:r>
        <w:rPr>
          <w:rFonts w:ascii="Arial" w:cs="Arial" w:eastAsia="Arial" w:hAnsi="Arial"/>
          <w:b w:val="false"/>
          <w:bCs w:val="false"/>
          <w:i w:val="false"/>
          <w:iCs w:val="false"/>
          <w:color w:val="111111"/>
          <w:sz w:val="22"/>
          <w:szCs w:val="22"/>
        </w:rPr>
        <w:t xml:space="preserve">Processor will not (i) sell or share Customer Personal Data, (ii) retain, use, or disclose Customer Personal Data outside the direct business relationship with Controller, or (iii) combine Customer Personal Data with Personal Data Processor receives from other sources for any purpose other than providing the service.</w:t>
      </w:r>
    </w:p>
    <w:p>
      <w:pPr>
        <w:pStyle w:val="Heading1"/>
        <w:spacing w:after="160" w:before="240"/>
      </w:pPr>
      <w:r>
        <w:rPr>
          <w:rFonts w:ascii="Arial" w:cs="Arial" w:eastAsia="Arial" w:hAnsi="Arial"/>
          <w:b/>
          <w:bCs/>
          <w:color w:val="111111"/>
          <w:sz w:val="32"/>
          <w:szCs w:val="32"/>
        </w:rPr>
        <w:t xml:space="preserve">3. Subject Matter, Duration, and Nature of Processing</w:t>
      </w:r>
    </w:p>
    <w:p>
      <w:pPr>
        <w:spacing w:after="120"/>
      </w:pPr>
      <w:r>
        <w:rPr>
          <w:rFonts w:ascii="Arial" w:cs="Arial" w:eastAsia="Arial" w:hAnsi="Arial"/>
          <w:b/>
          <w:bCs/>
          <w:color w:val="111111"/>
          <w:sz w:val="22"/>
          <w:szCs w:val="22"/>
        </w:rPr>
        <w:t xml:space="preserve">Subject matter. </w:t>
      </w:r>
      <w:r>
        <w:rPr>
          <w:rFonts w:ascii="Arial" w:cs="Arial" w:eastAsia="Arial" w:hAnsi="Arial"/>
          <w:color w:val="111111"/>
          <w:sz w:val="22"/>
          <w:szCs w:val="22"/>
        </w:rPr>
        <w:t xml:space="preserve">Provision of the PlanCheckNow plan-check service, including ingest of project drawings, jurisdictional code retrieval, AI inference, generation of correction reports, account administration, and customer support.</w:t>
      </w:r>
    </w:p>
    <w:p>
      <w:pPr>
        <w:spacing w:after="120"/>
      </w:pPr>
      <w:r>
        <w:rPr>
          <w:rFonts w:ascii="Arial" w:cs="Arial" w:eastAsia="Arial" w:hAnsi="Arial"/>
          <w:b/>
          <w:bCs/>
          <w:color w:val="111111"/>
          <w:sz w:val="22"/>
          <w:szCs w:val="22"/>
        </w:rPr>
        <w:t xml:space="preserve">Duration. </w:t>
      </w:r>
      <w:r>
        <w:rPr>
          <w:rFonts w:ascii="Arial" w:cs="Arial" w:eastAsia="Arial" w:hAnsi="Arial"/>
          <w:color w:val="111111"/>
          <w:sz w:val="22"/>
          <w:szCs w:val="22"/>
        </w:rPr>
        <w:t xml:space="preserve">For as long as Controller's PlanCheckNow account is active, plus the deletion / return period in Section 11.</w:t>
      </w:r>
    </w:p>
    <w:p>
      <w:pPr>
        <w:spacing w:after="120"/>
      </w:pPr>
      <w:r>
        <w:rPr>
          <w:rFonts w:ascii="Arial" w:cs="Arial" w:eastAsia="Arial" w:hAnsi="Arial"/>
          <w:b/>
          <w:bCs/>
          <w:color w:val="111111"/>
          <w:sz w:val="22"/>
          <w:szCs w:val="22"/>
        </w:rPr>
        <w:t xml:space="preserve">Nature. </w:t>
      </w:r>
      <w:r>
        <w:rPr>
          <w:rFonts w:ascii="Arial" w:cs="Arial" w:eastAsia="Arial" w:hAnsi="Arial"/>
          <w:color w:val="111111"/>
          <w:sz w:val="22"/>
          <w:szCs w:val="22"/>
        </w:rPr>
        <w:t xml:space="preserve">Hosting, processing through an AI plan-review engine, displaying results in a workspace UI, sending transactional email, billing, error monitoring, and storage.</w:t>
      </w:r>
    </w:p>
    <w:p>
      <w:pPr>
        <w:spacing w:after="120"/>
      </w:pPr>
      <w:r>
        <w:rPr>
          <w:rFonts w:ascii="Arial" w:cs="Arial" w:eastAsia="Arial" w:hAnsi="Arial"/>
          <w:b/>
          <w:bCs/>
          <w:color w:val="111111"/>
          <w:sz w:val="22"/>
          <w:szCs w:val="22"/>
        </w:rPr>
        <w:t xml:space="preserve">Categories of Data Subjects. </w:t>
      </w:r>
      <w:r>
        <w:rPr>
          <w:rFonts w:ascii="Arial" w:cs="Arial" w:eastAsia="Arial" w:hAnsi="Arial"/>
          <w:color w:val="111111"/>
          <w:sz w:val="22"/>
          <w:szCs w:val="22"/>
        </w:rPr>
        <w:t xml:space="preserve">Controller's authorized users, and individuals identified incidentally in uploaded project documents (e.g., property owners, designers, applicants).</w:t>
      </w:r>
    </w:p>
    <w:p>
      <w:pPr>
        <w:pStyle w:val="Heading1"/>
        <w:spacing w:after="160" w:before="240"/>
      </w:pPr>
      <w:r>
        <w:rPr>
          <w:rFonts w:ascii="Arial" w:cs="Arial" w:eastAsia="Arial" w:hAnsi="Arial"/>
          <w:b/>
          <w:bCs/>
          <w:color w:val="111111"/>
          <w:sz w:val="32"/>
          <w:szCs w:val="32"/>
        </w:rPr>
        <w:t xml:space="preserve">4. Categories of Personal Data</w:t>
      </w:r>
    </w:p>
    <w:p>
      <w:pPr>
        <w:spacing w:after="120"/>
      </w:pPr>
      <w:r>
        <w:rPr>
          <w:rFonts w:ascii="Arial" w:cs="Arial" w:eastAsia="Arial" w:hAnsi="Arial"/>
          <w:b w:val="false"/>
          <w:bCs w:val="false"/>
          <w:i w:val="false"/>
          <w:iCs w:val="false"/>
          <w:color w:val="111111"/>
          <w:sz w:val="22"/>
          <w:szCs w:val="22"/>
        </w:rPr>
        <w:t xml:space="preserve">Processor processes the following categories on behalf of Controller: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rPr>
          <w:tblHeader/>
        </w:trPr>
        <w:tc>
          <w:tcPr>
            <w:tcW w:type="dxa" w:w="3200"/>
            <w:tcBorders>
              <w:top w:val="single" w:color="BBBBBB" w:sz="4"/>
              <w:left w:val="single" w:color="BBBBBB" w:sz="4"/>
              <w:bottom w:val="single" w:color="BBBBBB" w:sz="4"/>
              <w:right w:val="single" w:color="BBBBBB" w:sz="4"/>
            </w:tcBorders>
            <w:shd w:fill="F2F4F7" w:val="clear"/>
            <w:tcMar>
              <w:top w:type="dxa" w:w="80"/>
              <w:left w:type="dxa" w:w="120"/>
              <w:bottom w:type="dxa" w:w="80"/>
              <w:right w:type="dxa" w:w="120"/>
            </w:tcMar>
          </w:tcPr>
          <w:p>
            <w:r>
              <w:rPr>
                <w:rFonts w:ascii="Arial" w:cs="Arial" w:eastAsia="Arial" w:hAnsi="Arial"/>
                <w:b/>
                <w:bCs/>
                <w:color w:val="111111"/>
                <w:sz w:val="20"/>
                <w:szCs w:val="20"/>
              </w:rPr>
              <w:t xml:space="preserve">Category</w:t>
            </w:r>
          </w:p>
        </w:tc>
        <w:tc>
          <w:tcPr>
            <w:tcW w:type="dxa" w:w="6160"/>
            <w:tcBorders>
              <w:top w:val="single" w:color="BBBBBB" w:sz="4"/>
              <w:left w:val="single" w:color="BBBBBB" w:sz="4"/>
              <w:bottom w:val="single" w:color="BBBBBB" w:sz="4"/>
              <w:right w:val="single" w:color="BBBBBB" w:sz="4"/>
            </w:tcBorders>
            <w:shd w:fill="F2F4F7" w:val="clear"/>
            <w:tcMar>
              <w:top w:type="dxa" w:w="80"/>
              <w:left w:type="dxa" w:w="120"/>
              <w:bottom w:type="dxa" w:w="80"/>
              <w:right w:type="dxa" w:w="120"/>
            </w:tcMar>
          </w:tcPr>
          <w:p>
            <w:r>
              <w:rPr>
                <w:rFonts w:ascii="Arial" w:cs="Arial" w:eastAsia="Arial" w:hAnsi="Arial"/>
                <w:b/>
                <w:bCs/>
                <w:color w:val="111111"/>
                <w:sz w:val="20"/>
                <w:szCs w:val="20"/>
              </w:rPr>
              <w:t xml:space="preserve">Examples</w:t>
            </w:r>
          </w:p>
        </w:tc>
      </w:tr>
      <w:tr>
        <w:tc>
          <w:tcPr>
            <w:tcW w:type="dxa" w:w="32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bCs/>
                <w:color w:val="111111"/>
                <w:sz w:val="20"/>
                <w:szCs w:val="20"/>
              </w:rPr>
              <w:t xml:space="preserve">Account data</w:t>
            </w:r>
          </w:p>
        </w:tc>
        <w:tc>
          <w:tcPr>
            <w:tcW w:type="dxa" w:w="616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Name, email, password hash, workspace role</w:t>
            </w:r>
          </w:p>
        </w:tc>
      </w:tr>
      <w:tr>
        <w:tc>
          <w:tcPr>
            <w:tcW w:type="dxa" w:w="32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bCs/>
                <w:color w:val="111111"/>
                <w:sz w:val="20"/>
                <w:szCs w:val="20"/>
              </w:rPr>
              <w:t xml:space="preserve">Billing data</w:t>
            </w:r>
          </w:p>
        </w:tc>
        <w:tc>
          <w:tcPr>
            <w:tcW w:type="dxa" w:w="616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Tokenized payment method, billing email, invoices (via Stripe)</w:t>
            </w:r>
          </w:p>
        </w:tc>
      </w:tr>
      <w:tr>
        <w:tc>
          <w:tcPr>
            <w:tcW w:type="dxa" w:w="32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bCs/>
                <w:color w:val="111111"/>
                <w:sz w:val="20"/>
                <w:szCs w:val="20"/>
              </w:rPr>
              <w:t xml:space="preserve">Project content</w:t>
            </w:r>
          </w:p>
        </w:tc>
        <w:tc>
          <w:tcPr>
            <w:tcW w:type="dxa" w:w="616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Architectural / structural drawings (PDF), project addresses, owner / designer names embedded in drawings</w:t>
            </w:r>
          </w:p>
        </w:tc>
      </w:tr>
      <w:tr>
        <w:tc>
          <w:tcPr>
            <w:tcW w:type="dxa" w:w="32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bCs/>
                <w:color w:val="111111"/>
                <w:sz w:val="20"/>
                <w:szCs w:val="20"/>
              </w:rPr>
              <w:t xml:space="preserve">Usage data</w:t>
            </w:r>
          </w:p>
        </w:tc>
        <w:tc>
          <w:tcPr>
            <w:tcW w:type="dxa" w:w="616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IP, user-agent, session timestamps, feature interactions</w:t>
            </w:r>
          </w:p>
        </w:tc>
      </w:tr>
      <w:tr>
        <w:tc>
          <w:tcPr>
            <w:tcW w:type="dxa" w:w="32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bCs/>
                <w:color w:val="111111"/>
                <w:sz w:val="20"/>
                <w:szCs w:val="20"/>
              </w:rPr>
              <w:t xml:space="preserve">Support data</w:t>
            </w:r>
          </w:p>
        </w:tc>
        <w:tc>
          <w:tcPr>
            <w:tcW w:type="dxa" w:w="616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Messages submitted to support@, attachments</w:t>
            </w:r>
          </w:p>
        </w:tc>
      </w:tr>
    </w:tbl>
    <w:p>
      <w:pPr>
        <w:spacing w:after="120"/>
      </w:pPr>
      <w:r>
        <w:rPr>
          <w:rFonts w:ascii="Arial" w:cs="Arial" w:eastAsia="Arial" w:hAnsi="Arial"/>
          <w:b w:val="false"/>
          <w:bCs w:val="false"/>
          <w:i w:val="false"/>
          <w:iCs w:val="false"/>
          <w:color w:val="111111"/>
          <w:sz w:val="22"/>
          <w:szCs w:val="22"/>
        </w:rPr>
        <w:t xml:space="preserve"/>
      </w:r>
    </w:p>
    <w:p>
      <w:pPr>
        <w:spacing w:after="120"/>
      </w:pPr>
      <w:r>
        <w:rPr>
          <w:rFonts w:ascii="Arial" w:cs="Arial" w:eastAsia="Arial" w:hAnsi="Arial"/>
          <w:b w:val="false"/>
          <w:bCs w:val="false"/>
          <w:i w:val="false"/>
          <w:iCs w:val="false"/>
          <w:color w:val="111111"/>
          <w:sz w:val="22"/>
          <w:szCs w:val="22"/>
        </w:rPr>
        <w:t xml:space="preserve">Processor does not intentionally collect special-category data under GDPR Article 9. Drawings and project files may incidentally include such data; Controller is responsible for ensuring its uploads do not include special-category data without an appropriate lawful basis.</w:t>
      </w:r>
    </w:p>
    <w:p>
      <w:pPr>
        <w:pStyle w:val="Heading1"/>
        <w:spacing w:after="160" w:before="240"/>
      </w:pPr>
      <w:r>
        <w:rPr>
          <w:rFonts w:ascii="Arial" w:cs="Arial" w:eastAsia="Arial" w:hAnsi="Arial"/>
          <w:b/>
          <w:bCs/>
          <w:color w:val="111111"/>
          <w:sz w:val="32"/>
          <w:szCs w:val="32"/>
        </w:rPr>
        <w:t xml:space="preserve">5. Processor Obligations</w:t>
      </w:r>
    </w:p>
    <w:p>
      <w:pPr>
        <w:pStyle w:val="ListParagraph"/>
        <w:numPr>
          <w:ilvl w:val="0"/>
          <w:numId w:val="2"/>
        </w:numPr>
        <w:spacing w:after="80"/>
      </w:pPr>
      <w:r>
        <w:rPr>
          <w:rFonts w:ascii="Arial" w:cs="Arial" w:eastAsia="Arial" w:hAnsi="Arial"/>
          <w:color w:val="111111"/>
          <w:sz w:val="22"/>
          <w:szCs w:val="22"/>
        </w:rPr>
        <w:t xml:space="preserve">Process Customer Personal Data only on Controller's documented instructions.</w:t>
      </w:r>
    </w:p>
    <w:p>
      <w:pPr>
        <w:pStyle w:val="ListParagraph"/>
        <w:numPr>
          <w:ilvl w:val="0"/>
          <w:numId w:val="2"/>
        </w:numPr>
        <w:spacing w:after="80"/>
      </w:pPr>
      <w:r>
        <w:rPr>
          <w:rFonts w:ascii="Arial" w:cs="Arial" w:eastAsia="Arial" w:hAnsi="Arial"/>
          <w:color w:val="111111"/>
          <w:sz w:val="22"/>
          <w:szCs w:val="22"/>
        </w:rPr>
        <w:t xml:space="preserve">Ensure persons authorized to process Customer Personal Data are bound by confidentiality.</w:t>
      </w:r>
    </w:p>
    <w:p>
      <w:pPr>
        <w:pStyle w:val="ListParagraph"/>
        <w:numPr>
          <w:ilvl w:val="0"/>
          <w:numId w:val="2"/>
        </w:numPr>
        <w:spacing w:after="80"/>
      </w:pPr>
      <w:r>
        <w:rPr>
          <w:rFonts w:ascii="Arial" w:cs="Arial" w:eastAsia="Arial" w:hAnsi="Arial"/>
          <w:color w:val="111111"/>
          <w:sz w:val="22"/>
          <w:szCs w:val="22"/>
        </w:rPr>
        <w:t xml:space="preserve">Implement and maintain the technical and organizational security measures described in Annex A.</w:t>
      </w:r>
    </w:p>
    <w:p>
      <w:pPr>
        <w:pStyle w:val="ListParagraph"/>
        <w:numPr>
          <w:ilvl w:val="0"/>
          <w:numId w:val="2"/>
        </w:numPr>
        <w:spacing w:after="80"/>
      </w:pPr>
      <w:r>
        <w:rPr>
          <w:rFonts w:ascii="Arial" w:cs="Arial" w:eastAsia="Arial" w:hAnsi="Arial"/>
          <w:color w:val="111111"/>
          <w:sz w:val="22"/>
          <w:szCs w:val="22"/>
        </w:rPr>
        <w:t xml:space="preserve">Assist Controller, taking into account the nature of processing, in responding to Data Subject requests under Sections 12–23 of the GDPR and equivalent provisions of other applicable laws.</w:t>
      </w:r>
    </w:p>
    <w:p>
      <w:pPr>
        <w:pStyle w:val="ListParagraph"/>
        <w:numPr>
          <w:ilvl w:val="0"/>
          <w:numId w:val="2"/>
        </w:numPr>
        <w:spacing w:after="80"/>
      </w:pPr>
      <w:r>
        <w:rPr>
          <w:rFonts w:ascii="Arial" w:cs="Arial" w:eastAsia="Arial" w:hAnsi="Arial"/>
          <w:color w:val="111111"/>
          <w:sz w:val="22"/>
          <w:szCs w:val="22"/>
        </w:rPr>
        <w:t xml:space="preserve">Make available to Controller information necessary to demonstrate compliance with this DPA.</w:t>
      </w:r>
    </w:p>
    <w:p>
      <w:pPr>
        <w:pStyle w:val="ListParagraph"/>
        <w:numPr>
          <w:ilvl w:val="0"/>
          <w:numId w:val="2"/>
        </w:numPr>
        <w:spacing w:after="80"/>
      </w:pPr>
      <w:r>
        <w:rPr>
          <w:rFonts w:ascii="Arial" w:cs="Arial" w:eastAsia="Arial" w:hAnsi="Arial"/>
          <w:color w:val="111111"/>
          <w:sz w:val="22"/>
          <w:szCs w:val="22"/>
        </w:rPr>
        <w:t xml:space="preserve">Notify Controller without undue delay (and in any event within 72 hours of becoming aware) of a Personal Data Breach affecting Customer Personal Data.</w:t>
      </w:r>
    </w:p>
    <w:p>
      <w:pPr>
        <w:pStyle w:val="Heading1"/>
        <w:spacing w:after="160" w:before="240"/>
      </w:pPr>
      <w:r>
        <w:rPr>
          <w:rFonts w:ascii="Arial" w:cs="Arial" w:eastAsia="Arial" w:hAnsi="Arial"/>
          <w:b/>
          <w:bCs/>
          <w:color w:val="111111"/>
          <w:sz w:val="32"/>
          <w:szCs w:val="32"/>
        </w:rPr>
        <w:t xml:space="preserve">6. Sub-Processors</w:t>
      </w:r>
    </w:p>
    <w:p>
      <w:pPr>
        <w:spacing w:after="120"/>
      </w:pPr>
      <w:r>
        <w:rPr>
          <w:rFonts w:ascii="Arial" w:cs="Arial" w:eastAsia="Arial" w:hAnsi="Arial"/>
          <w:b w:val="false"/>
          <w:bCs w:val="false"/>
          <w:i w:val="false"/>
          <w:iCs w:val="false"/>
          <w:color w:val="111111"/>
          <w:sz w:val="22"/>
          <w:szCs w:val="22"/>
        </w:rPr>
        <w:t xml:space="preserve">Controller authorizes Processor to engage the sub-processors listed below to process Customer Personal Data on Processor's behalf. Processor will maintain an up-to-date list of sub-processors at planchecknow.com/privacy and will impose data-protection terms on each sub-processor substantially equivalent to those in this DPA.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900"/>
        <w:gridCol w:w="4660"/>
        <w:gridCol w:w="1800"/>
      </w:tblGrid>
      <w:tr>
        <w:trPr>
          <w:tblHeader/>
        </w:trPr>
        <w:tc>
          <w:tcPr>
            <w:tcW w:type="dxa" w:w="2900"/>
            <w:tcBorders>
              <w:top w:val="single" w:color="BBBBBB" w:sz="4"/>
              <w:left w:val="single" w:color="BBBBBB" w:sz="4"/>
              <w:bottom w:val="single" w:color="BBBBBB" w:sz="4"/>
              <w:right w:val="single" w:color="BBBBBB" w:sz="4"/>
            </w:tcBorders>
            <w:shd w:fill="F2F4F7" w:val="clear"/>
            <w:tcMar>
              <w:top w:type="dxa" w:w="80"/>
              <w:left w:type="dxa" w:w="120"/>
              <w:bottom w:type="dxa" w:w="80"/>
              <w:right w:type="dxa" w:w="120"/>
            </w:tcMar>
          </w:tcPr>
          <w:p>
            <w:r>
              <w:rPr>
                <w:rFonts w:ascii="Arial" w:cs="Arial" w:eastAsia="Arial" w:hAnsi="Arial"/>
                <w:b/>
                <w:bCs/>
                <w:color w:val="111111"/>
                <w:sz w:val="20"/>
                <w:szCs w:val="20"/>
              </w:rPr>
              <w:t xml:space="preserve">Sub-Processor</w:t>
            </w:r>
          </w:p>
        </w:tc>
        <w:tc>
          <w:tcPr>
            <w:tcW w:type="dxa" w:w="4660"/>
            <w:tcBorders>
              <w:top w:val="single" w:color="BBBBBB" w:sz="4"/>
              <w:left w:val="single" w:color="BBBBBB" w:sz="4"/>
              <w:bottom w:val="single" w:color="BBBBBB" w:sz="4"/>
              <w:right w:val="single" w:color="BBBBBB" w:sz="4"/>
            </w:tcBorders>
            <w:shd w:fill="F2F4F7" w:val="clear"/>
            <w:tcMar>
              <w:top w:type="dxa" w:w="80"/>
              <w:left w:type="dxa" w:w="120"/>
              <w:bottom w:type="dxa" w:w="80"/>
              <w:right w:type="dxa" w:w="120"/>
            </w:tcMar>
          </w:tcPr>
          <w:p>
            <w:r>
              <w:rPr>
                <w:rFonts w:ascii="Arial" w:cs="Arial" w:eastAsia="Arial" w:hAnsi="Arial"/>
                <w:b/>
                <w:bCs/>
                <w:color w:val="111111"/>
                <w:sz w:val="20"/>
                <w:szCs w:val="20"/>
              </w:rPr>
              <w:t xml:space="preserve">Purpose</w:t>
            </w:r>
          </w:p>
        </w:tc>
        <w:tc>
          <w:tcPr>
            <w:tcW w:type="dxa" w:w="1800"/>
            <w:tcBorders>
              <w:top w:val="single" w:color="BBBBBB" w:sz="4"/>
              <w:left w:val="single" w:color="BBBBBB" w:sz="4"/>
              <w:bottom w:val="single" w:color="BBBBBB" w:sz="4"/>
              <w:right w:val="single" w:color="BBBBBB" w:sz="4"/>
            </w:tcBorders>
            <w:shd w:fill="F2F4F7" w:val="clear"/>
            <w:tcMar>
              <w:top w:type="dxa" w:w="80"/>
              <w:left w:type="dxa" w:w="120"/>
              <w:bottom w:type="dxa" w:w="80"/>
              <w:right w:type="dxa" w:w="120"/>
            </w:tcMar>
          </w:tcPr>
          <w:p>
            <w:r>
              <w:rPr>
                <w:rFonts w:ascii="Arial" w:cs="Arial" w:eastAsia="Arial" w:hAnsi="Arial"/>
                <w:b/>
                <w:bCs/>
                <w:color w:val="111111"/>
                <w:sz w:val="20"/>
                <w:szCs w:val="20"/>
              </w:rPr>
              <w:t xml:space="preserve">Location</w:t>
            </w:r>
          </w:p>
        </w:tc>
      </w:tr>
      <w:tr>
        <w:tc>
          <w:tcPr>
            <w:tcW w:type="dxa" w:w="2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bCs/>
                <w:color w:val="111111"/>
                <w:sz w:val="20"/>
                <w:szCs w:val="20"/>
              </w:rPr>
              <w:t xml:space="preserve">Anthropic, PBC</w:t>
            </w:r>
          </w:p>
        </w:tc>
        <w:tc>
          <w:tcPr>
            <w:tcW w:type="dxa" w:w="466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AI inference (Claude API) — plan-review engine</w:t>
            </w:r>
          </w:p>
        </w:tc>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USA</w:t>
            </w:r>
          </w:p>
        </w:tc>
      </w:tr>
      <w:tr>
        <w:tc>
          <w:tcPr>
            <w:tcW w:type="dxa" w:w="2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bCs/>
                <w:color w:val="111111"/>
                <w:sz w:val="20"/>
                <w:szCs w:val="20"/>
              </w:rPr>
              <w:t xml:space="preserve">Supabase, Inc.</w:t>
            </w:r>
          </w:p>
        </w:tc>
        <w:tc>
          <w:tcPr>
            <w:tcW w:type="dxa" w:w="466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Database, authentication, file storage</w:t>
            </w:r>
          </w:p>
        </w:tc>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USA</w:t>
            </w:r>
          </w:p>
        </w:tc>
      </w:tr>
      <w:tr>
        <w:tc>
          <w:tcPr>
            <w:tcW w:type="dxa" w:w="2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bCs/>
                <w:color w:val="111111"/>
                <w:sz w:val="20"/>
                <w:szCs w:val="20"/>
              </w:rPr>
              <w:t xml:space="preserve">Vercel Inc.</w:t>
            </w:r>
          </w:p>
        </w:tc>
        <w:tc>
          <w:tcPr>
            <w:tcW w:type="dxa" w:w="466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Application hosting + content delivery</w:t>
            </w:r>
          </w:p>
        </w:tc>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USA</w:t>
            </w:r>
          </w:p>
        </w:tc>
      </w:tr>
      <w:tr>
        <w:tc>
          <w:tcPr>
            <w:tcW w:type="dxa" w:w="2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bCs/>
                <w:color w:val="111111"/>
                <w:sz w:val="20"/>
                <w:szCs w:val="20"/>
              </w:rPr>
              <w:t xml:space="preserve">Stripe, Inc.</w:t>
            </w:r>
          </w:p>
        </w:tc>
        <w:tc>
          <w:tcPr>
            <w:tcW w:type="dxa" w:w="466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Subscription billing + payment processing</w:t>
            </w:r>
          </w:p>
        </w:tc>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USA</w:t>
            </w:r>
          </w:p>
        </w:tc>
      </w:tr>
      <w:tr>
        <w:tc>
          <w:tcPr>
            <w:tcW w:type="dxa" w:w="2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bCs/>
                <w:color w:val="111111"/>
                <w:sz w:val="20"/>
                <w:szCs w:val="20"/>
              </w:rPr>
              <w:t xml:space="preserve">Functional Software, Inc. (Sentry)</w:t>
            </w:r>
          </w:p>
        </w:tc>
        <w:tc>
          <w:tcPr>
            <w:tcW w:type="dxa" w:w="466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Error &amp; performance monitoring</w:t>
            </w:r>
          </w:p>
        </w:tc>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USA</w:t>
            </w:r>
          </w:p>
        </w:tc>
      </w:tr>
      <w:tr>
        <w:tc>
          <w:tcPr>
            <w:tcW w:type="dxa" w:w="2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bCs/>
                <w:color w:val="111111"/>
                <w:sz w:val="20"/>
                <w:szCs w:val="20"/>
              </w:rPr>
              <w:t xml:space="preserve">Resend, Inc.</w:t>
            </w:r>
          </w:p>
        </w:tc>
        <w:tc>
          <w:tcPr>
            <w:tcW w:type="dxa" w:w="466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Transactional email</w:t>
            </w:r>
          </w:p>
        </w:tc>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USA</w:t>
            </w:r>
          </w:p>
        </w:tc>
      </w:tr>
      <w:tr>
        <w:tc>
          <w:tcPr>
            <w:tcW w:type="dxa" w:w="2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bCs/>
                <w:color w:val="111111"/>
                <w:sz w:val="20"/>
                <w:szCs w:val="20"/>
              </w:rPr>
              <w:t xml:space="preserve">Upstash, Inc.</w:t>
            </w:r>
          </w:p>
        </w:tc>
        <w:tc>
          <w:tcPr>
            <w:tcW w:type="dxa" w:w="466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Rate-limit cache (Redis)</w:t>
            </w:r>
          </w:p>
        </w:tc>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USA</w:t>
            </w:r>
          </w:p>
        </w:tc>
      </w:tr>
    </w:tbl>
    <w:p>
      <w:pPr>
        <w:spacing w:after="120"/>
      </w:pPr>
      <w:r>
        <w:rPr>
          <w:rFonts w:ascii="Arial" w:cs="Arial" w:eastAsia="Arial" w:hAnsi="Arial"/>
          <w:b w:val="false"/>
          <w:bCs w:val="false"/>
          <w:i w:val="false"/>
          <w:iCs w:val="false"/>
          <w:color w:val="111111"/>
          <w:sz w:val="22"/>
          <w:szCs w:val="22"/>
        </w:rPr>
        <w:t xml:space="preserve"/>
      </w:r>
    </w:p>
    <w:p>
      <w:pPr>
        <w:spacing w:after="120"/>
      </w:pPr>
      <w:r>
        <w:rPr>
          <w:rFonts w:ascii="Arial" w:cs="Arial" w:eastAsia="Arial" w:hAnsi="Arial"/>
          <w:b w:val="false"/>
          <w:bCs w:val="false"/>
          <w:i w:val="false"/>
          <w:iCs w:val="false"/>
          <w:color w:val="111111"/>
          <w:sz w:val="22"/>
          <w:szCs w:val="22"/>
        </w:rPr>
        <w:t xml:space="preserve">If Processor proposes to add or replace a sub-processor, Processor will notify Controller at least thirty (30) days before the change takes effect. Controller may object on reasonable, documented data-protection grounds; the parties will discuss in good faith. If the parties cannot resolve the objection within thirty (30) days, Controller's sole remedy is to terminate the affected portion of the service.</w:t>
      </w:r>
    </w:p>
    <w:p>
      <w:pPr>
        <w:pStyle w:val="Heading1"/>
        <w:spacing w:after="160" w:before="240"/>
      </w:pPr>
      <w:r>
        <w:rPr>
          <w:rFonts w:ascii="Arial" w:cs="Arial" w:eastAsia="Arial" w:hAnsi="Arial"/>
          <w:b/>
          <w:bCs/>
          <w:color w:val="111111"/>
          <w:sz w:val="32"/>
          <w:szCs w:val="32"/>
        </w:rPr>
        <w:t xml:space="preserve">7. International Transfers</w:t>
      </w:r>
    </w:p>
    <w:p>
      <w:pPr>
        <w:spacing w:after="120"/>
      </w:pPr>
      <w:r>
        <w:rPr>
          <w:rFonts w:ascii="Arial" w:cs="Arial" w:eastAsia="Arial" w:hAnsi="Arial"/>
          <w:b w:val="false"/>
          <w:bCs w:val="false"/>
          <w:i w:val="false"/>
          <w:iCs w:val="false"/>
          <w:color w:val="111111"/>
          <w:sz w:val="22"/>
          <w:szCs w:val="22"/>
        </w:rPr>
        <w:t xml:space="preserve">Processor's sub-processors are primarily located in the United States. Where Customer Personal Data originates in the European Economic Area, United Kingdom, or Switzerland and is transferred to a country that has not received an adequacy decision, the transfer will be governed by the European Commission Standard Contractual Clauses (Module Two: Controller to Processor) and the UK International Data Transfer Addendum, as applicable, which are incorporated by reference.</w:t>
      </w:r>
    </w:p>
    <w:p>
      <w:pPr>
        <w:pStyle w:val="Heading1"/>
        <w:spacing w:after="160" w:before="240"/>
      </w:pPr>
      <w:r>
        <w:rPr>
          <w:rFonts w:ascii="Arial" w:cs="Arial" w:eastAsia="Arial" w:hAnsi="Arial"/>
          <w:b/>
          <w:bCs/>
          <w:color w:val="111111"/>
          <w:sz w:val="32"/>
          <w:szCs w:val="32"/>
        </w:rPr>
        <w:t xml:space="preserve">8. Security</w:t>
      </w:r>
    </w:p>
    <w:p>
      <w:pPr>
        <w:spacing w:after="120"/>
      </w:pPr>
      <w:r>
        <w:rPr>
          <w:rFonts w:ascii="Arial" w:cs="Arial" w:eastAsia="Arial" w:hAnsi="Arial"/>
          <w:b w:val="false"/>
          <w:bCs w:val="false"/>
          <w:i w:val="false"/>
          <w:iCs w:val="false"/>
          <w:color w:val="111111"/>
          <w:sz w:val="22"/>
          <w:szCs w:val="22"/>
        </w:rPr>
        <w:t xml:space="preserve">Processor maintains a written information-security program with administrative, technical, and physical safeguards designed to protect Customer Personal Data. Current measures are described in Annex A. Processor may update its security measures from time to time provided that the level of protection is not materially reduced.</w:t>
      </w:r>
    </w:p>
    <w:p>
      <w:pPr>
        <w:pStyle w:val="Heading1"/>
        <w:spacing w:after="160" w:before="240"/>
      </w:pPr>
      <w:r>
        <w:rPr>
          <w:rFonts w:ascii="Arial" w:cs="Arial" w:eastAsia="Arial" w:hAnsi="Arial"/>
          <w:b/>
          <w:bCs/>
          <w:color w:val="111111"/>
          <w:sz w:val="32"/>
          <w:szCs w:val="32"/>
        </w:rPr>
        <w:t xml:space="preserve">9. Personal Data Breach</w:t>
      </w:r>
    </w:p>
    <w:p>
      <w:pPr>
        <w:spacing w:after="120"/>
      </w:pPr>
      <w:r>
        <w:rPr>
          <w:rFonts w:ascii="Arial" w:cs="Arial" w:eastAsia="Arial" w:hAnsi="Arial"/>
          <w:b w:val="false"/>
          <w:bCs w:val="false"/>
          <w:i w:val="false"/>
          <w:iCs w:val="false"/>
          <w:color w:val="111111"/>
          <w:sz w:val="22"/>
          <w:szCs w:val="22"/>
        </w:rPr>
        <w:t xml:space="preserve">If Processor becomes aware of a Personal Data Breach affecting Customer Personal Data, it will (a) notify Controller in writing without undue delay and in any event within 72 hours, (b) provide a reasonable description of the breach, the categories and approximate number of Data Subjects affected, the likely consequences, and the measures taken or proposed to address it, and (c) take reasonable steps to mitigate and remediate.</w:t>
      </w:r>
    </w:p>
    <w:p>
      <w:pPr>
        <w:pStyle w:val="Heading1"/>
        <w:spacing w:after="160" w:before="240"/>
      </w:pPr>
      <w:r>
        <w:rPr>
          <w:rFonts w:ascii="Arial" w:cs="Arial" w:eastAsia="Arial" w:hAnsi="Arial"/>
          <w:b/>
          <w:bCs/>
          <w:color w:val="111111"/>
          <w:sz w:val="32"/>
          <w:szCs w:val="32"/>
        </w:rPr>
        <w:t xml:space="preserve">10. Data Subject Requests</w:t>
      </w:r>
    </w:p>
    <w:p>
      <w:pPr>
        <w:spacing w:after="120"/>
      </w:pPr>
      <w:r>
        <w:rPr>
          <w:rFonts w:ascii="Arial" w:cs="Arial" w:eastAsia="Arial" w:hAnsi="Arial"/>
          <w:b w:val="false"/>
          <w:bCs w:val="false"/>
          <w:i w:val="false"/>
          <w:iCs w:val="false"/>
          <w:color w:val="111111"/>
          <w:sz w:val="22"/>
          <w:szCs w:val="22"/>
        </w:rPr>
        <w:t xml:space="preserve">Processor will, taking into account the nature of the processing, assist Controller by appropriate technical and organizational measures, insofar as possible, for the fulfilment of Controller's obligation to respond to requests by Data Subjects to exercise their rights. If Processor receives a Data Subject request directly, it will instruct the requester to contact Controller and will not respond substantively without Controller's instruction.</w:t>
      </w:r>
    </w:p>
    <w:p>
      <w:pPr>
        <w:pStyle w:val="Heading1"/>
        <w:spacing w:after="160" w:before="240"/>
      </w:pPr>
      <w:r>
        <w:rPr>
          <w:rFonts w:ascii="Arial" w:cs="Arial" w:eastAsia="Arial" w:hAnsi="Arial"/>
          <w:b/>
          <w:bCs/>
          <w:color w:val="111111"/>
          <w:sz w:val="32"/>
          <w:szCs w:val="32"/>
        </w:rPr>
        <w:t xml:space="preserve">11. Return and Deletion</w:t>
      </w:r>
    </w:p>
    <w:p>
      <w:pPr>
        <w:spacing w:after="120"/>
      </w:pPr>
      <w:r>
        <w:rPr>
          <w:rFonts w:ascii="Arial" w:cs="Arial" w:eastAsia="Arial" w:hAnsi="Arial"/>
          <w:b w:val="false"/>
          <w:bCs w:val="false"/>
          <w:i w:val="false"/>
          <w:iCs w:val="false"/>
          <w:color w:val="111111"/>
          <w:sz w:val="22"/>
          <w:szCs w:val="22"/>
        </w:rPr>
        <w:t xml:space="preserve">Within thirty (30) days of termination of the underlying agreement, Processor will (at Controller's choice) delete or return Customer Personal Data. Encrypted backups containing Customer Personal Data are rotated and purged within ninety (90) days. Processor may retain Customer Personal Data to the extent and for the period required by applicable law, in which case it will continue to protect that data in accordance with this DPA.</w:t>
      </w:r>
    </w:p>
    <w:p>
      <w:pPr>
        <w:pStyle w:val="Heading1"/>
        <w:spacing w:after="160" w:before="240"/>
      </w:pPr>
      <w:r>
        <w:rPr>
          <w:rFonts w:ascii="Arial" w:cs="Arial" w:eastAsia="Arial" w:hAnsi="Arial"/>
          <w:b/>
          <w:bCs/>
          <w:color w:val="111111"/>
          <w:sz w:val="32"/>
          <w:szCs w:val="32"/>
        </w:rPr>
        <w:t xml:space="preserve">12. Audits</w:t>
      </w:r>
    </w:p>
    <w:p>
      <w:pPr>
        <w:spacing w:after="120"/>
      </w:pPr>
      <w:r>
        <w:rPr>
          <w:rFonts w:ascii="Arial" w:cs="Arial" w:eastAsia="Arial" w:hAnsi="Arial"/>
          <w:b w:val="false"/>
          <w:bCs w:val="false"/>
          <w:i w:val="false"/>
          <w:iCs w:val="false"/>
          <w:color w:val="111111"/>
          <w:sz w:val="22"/>
          <w:szCs w:val="22"/>
        </w:rPr>
        <w:t xml:space="preserve">Processor will make available to Controller information reasonably necessary to demonstrate compliance with this DPA. Controller may, on no less than thirty (30) days' prior written notice and not more than once per year (unless required by a supervisory authority), audit Processor's compliance with this DPA at Controller's expense, subject to mutually agreed confidentiality, scope, and timing.</w:t>
      </w:r>
    </w:p>
    <w:p>
      <w:pPr>
        <w:pStyle w:val="Heading1"/>
        <w:spacing w:after="160" w:before="240"/>
      </w:pPr>
      <w:r>
        <w:rPr>
          <w:rFonts w:ascii="Arial" w:cs="Arial" w:eastAsia="Arial" w:hAnsi="Arial"/>
          <w:b/>
          <w:bCs/>
          <w:color w:val="111111"/>
          <w:sz w:val="32"/>
          <w:szCs w:val="32"/>
        </w:rPr>
        <w:t xml:space="preserve">13. CCPA</w:t>
      </w:r>
    </w:p>
    <w:p>
      <w:pPr>
        <w:spacing w:after="120"/>
      </w:pPr>
      <w:r>
        <w:rPr>
          <w:rFonts w:ascii="Arial" w:cs="Arial" w:eastAsia="Arial" w:hAnsi="Arial"/>
          <w:b w:val="false"/>
          <w:bCs w:val="false"/>
          <w:i w:val="false"/>
          <w:iCs w:val="false"/>
          <w:color w:val="111111"/>
          <w:sz w:val="22"/>
          <w:szCs w:val="22"/>
        </w:rPr>
        <w:t xml:space="preserve">Where the CCPA applies, Processor is a “Service Provider” and certifies that it understands the restrictions in CCPA § 1798.140(ag)(1) and Section 2 above and will comply with them. Processor will notify Controller if it determines it can no longer meet its obligations as a Service Provider under the CCPA.</w:t>
      </w:r>
    </w:p>
    <w:p>
      <w:pPr>
        <w:pStyle w:val="Heading1"/>
        <w:spacing w:after="160" w:before="240"/>
      </w:pPr>
      <w:r>
        <w:rPr>
          <w:rFonts w:ascii="Arial" w:cs="Arial" w:eastAsia="Arial" w:hAnsi="Arial"/>
          <w:b/>
          <w:bCs/>
          <w:color w:val="111111"/>
          <w:sz w:val="32"/>
          <w:szCs w:val="32"/>
        </w:rPr>
        <w:t xml:space="preserve">14. Order of Precedence; Term; Liability</w:t>
      </w:r>
    </w:p>
    <w:p>
      <w:pPr>
        <w:spacing w:after="120"/>
      </w:pPr>
      <w:r>
        <w:rPr>
          <w:rFonts w:ascii="Arial" w:cs="Arial" w:eastAsia="Arial" w:hAnsi="Arial"/>
          <w:b w:val="false"/>
          <w:bCs w:val="false"/>
          <w:i w:val="false"/>
          <w:iCs w:val="false"/>
          <w:color w:val="111111"/>
          <w:sz w:val="22"/>
          <w:szCs w:val="22"/>
        </w:rPr>
        <w:t xml:space="preserve">This DPA is incorporated into and forms part of the underlying agreement. In the event of a conflict, this DPA controls with respect to processing of Personal Data. This DPA will remain in effect until the deletion or return of Customer Personal Data under Section 11. Each party's aggregate liability arising out of this DPA is subject to the limitations of liability set out in the underlying agreement.</w:t>
      </w:r>
    </w:p>
    <w:p>
      <w:pPr>
        <w:pStyle w:val="Heading1"/>
        <w:spacing w:after="160" w:before="240"/>
      </w:pPr>
      <w:r>
        <w:rPr>
          <w:rFonts w:ascii="Arial" w:cs="Arial" w:eastAsia="Arial" w:hAnsi="Arial"/>
          <w:b/>
          <w:bCs/>
          <w:color w:val="111111"/>
          <w:sz w:val="32"/>
          <w:szCs w:val="32"/>
        </w:rPr>
        <w:t xml:space="preserve">15. Governing Law</w:t>
      </w:r>
    </w:p>
    <w:p>
      <w:pPr>
        <w:spacing w:after="120"/>
      </w:pPr>
      <w:r>
        <w:rPr>
          <w:rFonts w:ascii="Arial" w:cs="Arial" w:eastAsia="Arial" w:hAnsi="Arial"/>
          <w:b w:val="false"/>
          <w:bCs w:val="false"/>
          <w:i w:val="false"/>
          <w:iCs w:val="false"/>
          <w:color w:val="111111"/>
          <w:sz w:val="22"/>
          <w:szCs w:val="22"/>
        </w:rPr>
        <w:t xml:space="preserve">This DPA is governed by the laws of the State of California, except that the GDPR-related provisions are governed by the laws of the Member State of the relevant Controller's establishment to the extent required by applicable law. Disputes will be resolved in accordance with the dispute-resolution provisions of the underlying agreement.</w:t>
      </w:r>
    </w:p>
    <w:p>
      <w:r>
        <w:br w:type="page"/>
      </w:r>
    </w:p>
    <w:p>
      <w:pPr>
        <w:pStyle w:val="Heading1"/>
        <w:spacing w:after="160" w:before="240"/>
      </w:pPr>
      <w:r>
        <w:rPr>
          <w:rFonts w:ascii="Arial" w:cs="Arial" w:eastAsia="Arial" w:hAnsi="Arial"/>
          <w:b/>
          <w:bCs/>
          <w:color w:val="111111"/>
          <w:sz w:val="32"/>
          <w:szCs w:val="32"/>
        </w:rPr>
        <w:t xml:space="preserve">Signatures</w:t>
      </w:r>
    </w:p>
    <w:p>
      <w:pPr>
        <w:spacing w:after="120"/>
      </w:pPr>
      <w:r>
        <w:rPr>
          <w:rFonts w:ascii="Arial" w:cs="Arial" w:eastAsia="Arial" w:hAnsi="Arial"/>
          <w:b w:val="false"/>
          <w:bCs w:val="false"/>
          <w:i w:val="false"/>
          <w:iCs w:val="false"/>
          <w:color w:val="111111"/>
          <w:sz w:val="22"/>
          <w:szCs w:val="22"/>
        </w:rPr>
        <w:t xml:space="preserve">By signing below, the parties agree to be bound by this Data Processing Agreement.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BBBBB" w:sz="4"/>
              <w:left w:val="single" w:color="BBBBBB" w:sz="4"/>
              <w:bottom w:val="single" w:color="BBBBBB" w:sz="4"/>
              <w:right w:val="single" w:color="BBBBBB" w:sz="4"/>
            </w:tcBorders>
            <w:shd w:fill="F2F4F7" w:val="clear"/>
            <w:tcMar>
              <w:top w:type="dxa" w:w="80"/>
              <w:left w:type="dxa" w:w="120"/>
              <w:bottom w:type="dxa" w:w="80"/>
              <w:right w:type="dxa" w:w="120"/>
            </w:tcMar>
          </w:tcPr>
          <w:p>
            <w:r>
              <w:rPr>
                <w:rFonts w:ascii="Arial" w:cs="Arial" w:eastAsia="Arial" w:hAnsi="Arial"/>
                <w:b/>
                <w:bCs/>
                <w:color w:val="111111"/>
                <w:sz w:val="20"/>
                <w:szCs w:val="20"/>
              </w:rPr>
              <w:t xml:space="preserve">CONTROLLER</w:t>
            </w:r>
          </w:p>
        </w:tc>
        <w:tc>
          <w:tcPr>
            <w:tcW w:type="dxa" w:w="4680"/>
            <w:tcBorders>
              <w:top w:val="single" w:color="BBBBBB" w:sz="4"/>
              <w:left w:val="single" w:color="BBBBBB" w:sz="4"/>
              <w:bottom w:val="single" w:color="BBBBBB" w:sz="4"/>
              <w:right w:val="single" w:color="BBBBBB" w:sz="4"/>
            </w:tcBorders>
            <w:shd w:fill="F2F4F7" w:val="clear"/>
            <w:tcMar>
              <w:top w:type="dxa" w:w="80"/>
              <w:left w:type="dxa" w:w="120"/>
              <w:bottom w:type="dxa" w:w="80"/>
              <w:right w:type="dxa" w:w="120"/>
            </w:tcMar>
          </w:tcPr>
          <w:p>
            <w:r>
              <w:rPr>
                <w:rFonts w:ascii="Arial" w:cs="Arial" w:eastAsia="Arial" w:hAnsi="Arial"/>
                <w:b/>
                <w:bCs/>
                <w:color w:val="111111"/>
                <w:sz w:val="20"/>
                <w:szCs w:val="20"/>
              </w:rPr>
              <w:t xml:space="preserve">PROCESSOR</w:t>
            </w:r>
          </w:p>
        </w:tc>
      </w:tr>
      <w:tr>
        <w:tc>
          <w:tcPr>
            <w:tcW w:type="dxa" w:w="468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Company: ___________________________</w:t>
            </w:r>
          </w:p>
        </w:tc>
        <w:tc>
          <w:tcPr>
            <w:tcW w:type="dxa" w:w="468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Company: PlanCheckNow</w:t>
            </w:r>
          </w:p>
        </w:tc>
      </w:tr>
      <w:tr>
        <w:tc>
          <w:tcPr>
            <w:tcW w:type="dxa" w:w="468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Name: ___________________________</w:t>
            </w:r>
          </w:p>
        </w:tc>
        <w:tc>
          <w:tcPr>
            <w:tcW w:type="dxa" w:w="468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Name: ___________________________</w:t>
            </w:r>
          </w:p>
        </w:tc>
      </w:tr>
      <w:tr>
        <w:tc>
          <w:tcPr>
            <w:tcW w:type="dxa" w:w="468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Title: ___________________________</w:t>
            </w:r>
          </w:p>
        </w:tc>
        <w:tc>
          <w:tcPr>
            <w:tcW w:type="dxa" w:w="468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Title: ___________________________</w:t>
            </w:r>
          </w:p>
        </w:tc>
      </w:tr>
      <w:tr>
        <w:tc>
          <w:tcPr>
            <w:tcW w:type="dxa" w:w="468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Date: ___________________________</w:t>
            </w:r>
          </w:p>
        </w:tc>
        <w:tc>
          <w:tcPr>
            <w:tcW w:type="dxa" w:w="468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Date: ___________________________</w:t>
            </w:r>
          </w:p>
        </w:tc>
      </w:tr>
      <w:tr>
        <w:tc>
          <w:tcPr>
            <w:tcW w:type="dxa" w:w="468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Signature: ___________________________</w:t>
            </w:r>
          </w:p>
        </w:tc>
        <w:tc>
          <w:tcPr>
            <w:tcW w:type="dxa" w:w="468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Arial" w:cs="Arial" w:eastAsia="Arial" w:hAnsi="Arial"/>
                <w:b w:val="false"/>
                <w:bCs w:val="false"/>
                <w:color w:val="111111"/>
                <w:sz w:val="20"/>
                <w:szCs w:val="20"/>
              </w:rPr>
              <w:t xml:space="preserve">Signature: ___________________________</w:t>
            </w:r>
          </w:p>
        </w:tc>
      </w:tr>
    </w:tbl>
    <w:p>
      <w:r>
        <w:br w:type="page"/>
      </w:r>
    </w:p>
    <w:p>
      <w:pPr>
        <w:pStyle w:val="Heading1"/>
        <w:spacing w:after="160" w:before="240"/>
      </w:pPr>
      <w:r>
        <w:rPr>
          <w:rFonts w:ascii="Arial" w:cs="Arial" w:eastAsia="Arial" w:hAnsi="Arial"/>
          <w:b/>
          <w:bCs/>
          <w:color w:val="111111"/>
          <w:sz w:val="32"/>
          <w:szCs w:val="32"/>
        </w:rPr>
        <w:t xml:space="preserve">Annex A — Technical and Organizational Security Measures</w:t>
      </w:r>
    </w:p>
    <w:p>
      <w:pPr>
        <w:pStyle w:val="Heading2"/>
        <w:spacing w:after="120" w:before="180"/>
      </w:pPr>
      <w:r>
        <w:rPr>
          <w:rFonts w:ascii="Arial" w:cs="Arial" w:eastAsia="Arial" w:hAnsi="Arial"/>
          <w:b/>
          <w:bCs/>
          <w:color w:val="111111"/>
          <w:sz w:val="26"/>
          <w:szCs w:val="26"/>
        </w:rPr>
        <w:t xml:space="preserve">Access control</w:t>
      </w:r>
    </w:p>
    <w:p>
      <w:pPr>
        <w:pStyle w:val="ListParagraph"/>
        <w:numPr>
          <w:ilvl w:val="0"/>
          <w:numId w:val="2"/>
        </w:numPr>
        <w:spacing w:after="80"/>
      </w:pPr>
      <w:r>
        <w:rPr>
          <w:rFonts w:ascii="Arial" w:cs="Arial" w:eastAsia="Arial" w:hAnsi="Arial"/>
          <w:color w:val="111111"/>
          <w:sz w:val="22"/>
          <w:szCs w:val="22"/>
        </w:rPr>
        <w:t xml:space="preserve">Multi-factor authentication enforced on all production console accounts (cloud, version-control, payment, observability).</w:t>
      </w:r>
    </w:p>
    <w:p>
      <w:pPr>
        <w:pStyle w:val="ListParagraph"/>
        <w:numPr>
          <w:ilvl w:val="0"/>
          <w:numId w:val="2"/>
        </w:numPr>
        <w:spacing w:after="80"/>
      </w:pPr>
      <w:r>
        <w:rPr>
          <w:rFonts w:ascii="Arial" w:cs="Arial" w:eastAsia="Arial" w:hAnsi="Arial"/>
          <w:color w:val="111111"/>
          <w:sz w:val="22"/>
          <w:szCs w:val="22"/>
        </w:rPr>
        <w:t xml:space="preserve">Least-privilege role-based access scoped per workspace at the database layer (Postgres Row-Level Security).</w:t>
      </w:r>
    </w:p>
    <w:p>
      <w:pPr>
        <w:pStyle w:val="ListParagraph"/>
        <w:numPr>
          <w:ilvl w:val="0"/>
          <w:numId w:val="2"/>
        </w:numPr>
        <w:spacing w:after="80"/>
      </w:pPr>
      <w:r>
        <w:rPr>
          <w:rFonts w:ascii="Arial" w:cs="Arial" w:eastAsia="Arial" w:hAnsi="Arial"/>
          <w:color w:val="111111"/>
          <w:sz w:val="22"/>
          <w:szCs w:val="22"/>
        </w:rPr>
        <w:t xml:space="preserve">Hardware-backed or password-manager-backed credential storage for administrative accounts.</w:t>
      </w:r>
    </w:p>
    <w:p>
      <w:pPr>
        <w:pStyle w:val="Heading2"/>
        <w:spacing w:after="120" w:before="180"/>
      </w:pPr>
      <w:r>
        <w:rPr>
          <w:rFonts w:ascii="Arial" w:cs="Arial" w:eastAsia="Arial" w:hAnsi="Arial"/>
          <w:b/>
          <w:bCs/>
          <w:color w:val="111111"/>
          <w:sz w:val="26"/>
          <w:szCs w:val="26"/>
        </w:rPr>
        <w:t xml:space="preserve">Encryption</w:t>
      </w:r>
    </w:p>
    <w:p>
      <w:pPr>
        <w:pStyle w:val="ListParagraph"/>
        <w:numPr>
          <w:ilvl w:val="0"/>
          <w:numId w:val="2"/>
        </w:numPr>
        <w:spacing w:after="80"/>
      </w:pPr>
      <w:r>
        <w:rPr>
          <w:rFonts w:ascii="Arial" w:cs="Arial" w:eastAsia="Arial" w:hAnsi="Arial"/>
          <w:color w:val="111111"/>
          <w:sz w:val="22"/>
          <w:szCs w:val="22"/>
        </w:rPr>
        <w:t xml:space="preserve">TLS 1.2+ for all data in transit between Controller, the service, and sub-processors.</w:t>
      </w:r>
    </w:p>
    <w:p>
      <w:pPr>
        <w:pStyle w:val="ListParagraph"/>
        <w:numPr>
          <w:ilvl w:val="0"/>
          <w:numId w:val="2"/>
        </w:numPr>
        <w:spacing w:after="80"/>
      </w:pPr>
      <w:r>
        <w:rPr>
          <w:rFonts w:ascii="Arial" w:cs="Arial" w:eastAsia="Arial" w:hAnsi="Arial"/>
          <w:color w:val="111111"/>
          <w:sz w:val="22"/>
          <w:szCs w:val="22"/>
        </w:rPr>
        <w:t xml:space="preserve">AES-256 encryption at rest for database and object storage (Supabase / Vercel managed encryption).</w:t>
      </w:r>
    </w:p>
    <w:p>
      <w:pPr>
        <w:pStyle w:val="ListParagraph"/>
        <w:numPr>
          <w:ilvl w:val="0"/>
          <w:numId w:val="2"/>
        </w:numPr>
        <w:spacing w:after="80"/>
      </w:pPr>
      <w:r>
        <w:rPr>
          <w:rFonts w:ascii="Arial" w:cs="Arial" w:eastAsia="Arial" w:hAnsi="Arial"/>
          <w:color w:val="111111"/>
          <w:sz w:val="22"/>
          <w:szCs w:val="22"/>
        </w:rPr>
        <w:t xml:space="preserve">Application secrets stored in Vercel environment variables; no secrets in source control.</w:t>
      </w:r>
    </w:p>
    <w:p>
      <w:pPr>
        <w:pStyle w:val="Heading2"/>
        <w:spacing w:after="120" w:before="180"/>
      </w:pPr>
      <w:r>
        <w:rPr>
          <w:rFonts w:ascii="Arial" w:cs="Arial" w:eastAsia="Arial" w:hAnsi="Arial"/>
          <w:b/>
          <w:bCs/>
          <w:color w:val="111111"/>
          <w:sz w:val="26"/>
          <w:szCs w:val="26"/>
        </w:rPr>
        <w:t xml:space="preserve">Network &amp; application security</w:t>
      </w:r>
    </w:p>
    <w:p>
      <w:pPr>
        <w:pStyle w:val="ListParagraph"/>
        <w:numPr>
          <w:ilvl w:val="0"/>
          <w:numId w:val="2"/>
        </w:numPr>
        <w:spacing w:after="80"/>
      </w:pPr>
      <w:r>
        <w:rPr>
          <w:rFonts w:ascii="Arial" w:cs="Arial" w:eastAsia="Arial" w:hAnsi="Arial"/>
          <w:color w:val="111111"/>
          <w:sz w:val="22"/>
          <w:szCs w:val="22"/>
        </w:rPr>
        <w:t xml:space="preserve">Web Application Firewall (WAF) and DDoS protection in front of the production application.</w:t>
      </w:r>
    </w:p>
    <w:p>
      <w:pPr>
        <w:pStyle w:val="ListParagraph"/>
        <w:numPr>
          <w:ilvl w:val="0"/>
          <w:numId w:val="2"/>
        </w:numPr>
        <w:spacing w:after="80"/>
      </w:pPr>
      <w:r>
        <w:rPr>
          <w:rFonts w:ascii="Arial" w:cs="Arial" w:eastAsia="Arial" w:hAnsi="Arial"/>
          <w:color w:val="111111"/>
          <w:sz w:val="22"/>
          <w:szCs w:val="22"/>
        </w:rPr>
        <w:t xml:space="preserve">Content Security Policy, HSTS (2 years, preload), and frame-ancestors deny on every response.</w:t>
      </w:r>
    </w:p>
    <w:p>
      <w:pPr>
        <w:pStyle w:val="ListParagraph"/>
        <w:numPr>
          <w:ilvl w:val="0"/>
          <w:numId w:val="2"/>
        </w:numPr>
        <w:spacing w:after="80"/>
      </w:pPr>
      <w:r>
        <w:rPr>
          <w:rFonts w:ascii="Arial" w:cs="Arial" w:eastAsia="Arial" w:hAnsi="Arial"/>
          <w:color w:val="111111"/>
          <w:sz w:val="22"/>
          <w:szCs w:val="22"/>
        </w:rPr>
        <w:t xml:space="preserve">Application-level rate limiting on expensive endpoints and authentication endpoints.</w:t>
      </w:r>
    </w:p>
    <w:p>
      <w:pPr>
        <w:pStyle w:val="Heading2"/>
        <w:spacing w:after="120" w:before="180"/>
      </w:pPr>
      <w:r>
        <w:rPr>
          <w:rFonts w:ascii="Arial" w:cs="Arial" w:eastAsia="Arial" w:hAnsi="Arial"/>
          <w:b/>
          <w:bCs/>
          <w:color w:val="111111"/>
          <w:sz w:val="26"/>
          <w:szCs w:val="26"/>
        </w:rPr>
        <w:t xml:space="preserve">Logging &amp; monitoring</w:t>
      </w:r>
    </w:p>
    <w:p>
      <w:pPr>
        <w:pStyle w:val="ListParagraph"/>
        <w:numPr>
          <w:ilvl w:val="0"/>
          <w:numId w:val="2"/>
        </w:numPr>
        <w:spacing w:after="80"/>
      </w:pPr>
      <w:r>
        <w:rPr>
          <w:rFonts w:ascii="Arial" w:cs="Arial" w:eastAsia="Arial" w:hAnsi="Arial"/>
          <w:color w:val="111111"/>
          <w:sz w:val="22"/>
          <w:szCs w:val="22"/>
        </w:rPr>
        <w:t xml:space="preserve">Application error and performance monitoring with retention of seven (7) to ninety (90) days depending on data class.</w:t>
      </w:r>
    </w:p>
    <w:p>
      <w:pPr>
        <w:pStyle w:val="ListParagraph"/>
        <w:numPr>
          <w:ilvl w:val="0"/>
          <w:numId w:val="2"/>
        </w:numPr>
        <w:spacing w:after="80"/>
      </w:pPr>
      <w:r>
        <w:rPr>
          <w:rFonts w:ascii="Arial" w:cs="Arial" w:eastAsia="Arial" w:hAnsi="Arial"/>
          <w:color w:val="111111"/>
          <w:sz w:val="22"/>
          <w:szCs w:val="22"/>
        </w:rPr>
        <w:t xml:space="preserve">Audit log of authentication events and privileged data changes.</w:t>
      </w:r>
    </w:p>
    <w:p>
      <w:pPr>
        <w:pStyle w:val="ListParagraph"/>
        <w:numPr>
          <w:ilvl w:val="0"/>
          <w:numId w:val="2"/>
        </w:numPr>
        <w:spacing w:after="80"/>
      </w:pPr>
      <w:r>
        <w:rPr>
          <w:rFonts w:ascii="Arial" w:cs="Arial" w:eastAsia="Arial" w:hAnsi="Arial"/>
          <w:color w:val="111111"/>
          <w:sz w:val="22"/>
          <w:szCs w:val="22"/>
        </w:rPr>
        <w:t xml:space="preserve">Vulnerability monitoring on third-party dependencies.</w:t>
      </w:r>
    </w:p>
    <w:p>
      <w:pPr>
        <w:pStyle w:val="Heading2"/>
        <w:spacing w:after="120" w:before="180"/>
      </w:pPr>
      <w:r>
        <w:rPr>
          <w:rFonts w:ascii="Arial" w:cs="Arial" w:eastAsia="Arial" w:hAnsi="Arial"/>
          <w:b/>
          <w:bCs/>
          <w:color w:val="111111"/>
          <w:sz w:val="26"/>
          <w:szCs w:val="26"/>
        </w:rPr>
        <w:t xml:space="preserve">Resilience &amp; backups</w:t>
      </w:r>
    </w:p>
    <w:p>
      <w:pPr>
        <w:pStyle w:val="ListParagraph"/>
        <w:numPr>
          <w:ilvl w:val="0"/>
          <w:numId w:val="2"/>
        </w:numPr>
        <w:spacing w:after="80"/>
      </w:pPr>
      <w:r>
        <w:rPr>
          <w:rFonts w:ascii="Arial" w:cs="Arial" w:eastAsia="Arial" w:hAnsi="Arial"/>
          <w:color w:val="111111"/>
          <w:sz w:val="22"/>
          <w:szCs w:val="22"/>
        </w:rPr>
        <w:t xml:space="preserve">Point-in-time recovery for the primary database (rolling seven-day window).</w:t>
      </w:r>
    </w:p>
    <w:p>
      <w:pPr>
        <w:pStyle w:val="ListParagraph"/>
        <w:numPr>
          <w:ilvl w:val="0"/>
          <w:numId w:val="2"/>
        </w:numPr>
        <w:spacing w:after="80"/>
      </w:pPr>
      <w:r>
        <w:rPr>
          <w:rFonts w:ascii="Arial" w:cs="Arial" w:eastAsia="Arial" w:hAnsi="Arial"/>
          <w:color w:val="111111"/>
          <w:sz w:val="22"/>
          <w:szCs w:val="22"/>
        </w:rPr>
        <w:t xml:space="preserve">Encrypted backups; backup-retention and purge policy aligned with the data-retention policy in Section 11.</w:t>
      </w:r>
    </w:p>
    <w:p>
      <w:pPr>
        <w:pStyle w:val="Heading2"/>
        <w:spacing w:after="120" w:before="180"/>
      </w:pPr>
      <w:r>
        <w:rPr>
          <w:rFonts w:ascii="Arial" w:cs="Arial" w:eastAsia="Arial" w:hAnsi="Arial"/>
          <w:b/>
          <w:bCs/>
          <w:color w:val="111111"/>
          <w:sz w:val="26"/>
          <w:szCs w:val="26"/>
        </w:rPr>
        <w:t xml:space="preserve">Personnel</w:t>
      </w:r>
    </w:p>
    <w:p>
      <w:pPr>
        <w:pStyle w:val="ListParagraph"/>
        <w:numPr>
          <w:ilvl w:val="0"/>
          <w:numId w:val="2"/>
        </w:numPr>
        <w:spacing w:after="80"/>
      </w:pPr>
      <w:r>
        <w:rPr>
          <w:rFonts w:ascii="Arial" w:cs="Arial" w:eastAsia="Arial" w:hAnsi="Arial"/>
          <w:color w:val="111111"/>
          <w:sz w:val="22"/>
          <w:szCs w:val="22"/>
        </w:rPr>
        <w:t xml:space="preserve">Confidentiality obligations imposed on all personnel with access to Customer Personal Data.</w:t>
      </w:r>
    </w:p>
    <w:p>
      <w:pPr>
        <w:pStyle w:val="ListParagraph"/>
        <w:numPr>
          <w:ilvl w:val="0"/>
          <w:numId w:val="2"/>
        </w:numPr>
        <w:spacing w:after="80"/>
      </w:pPr>
      <w:r>
        <w:rPr>
          <w:rFonts w:ascii="Arial" w:cs="Arial" w:eastAsia="Arial" w:hAnsi="Arial"/>
          <w:color w:val="111111"/>
          <w:sz w:val="22"/>
          <w:szCs w:val="22"/>
        </w:rPr>
        <w:t xml:space="preserve">Background checks on personnel with privileged production access where permitted by law.</w:t>
      </w:r>
    </w:p>
    <w:p>
      <w:pPr>
        <w:pStyle w:val="ListParagraph"/>
        <w:numPr>
          <w:ilvl w:val="0"/>
          <w:numId w:val="2"/>
        </w:numPr>
        <w:spacing w:after="80"/>
      </w:pPr>
      <w:r>
        <w:rPr>
          <w:rFonts w:ascii="Arial" w:cs="Arial" w:eastAsia="Arial" w:hAnsi="Arial"/>
          <w:color w:val="111111"/>
          <w:sz w:val="22"/>
          <w:szCs w:val="22"/>
        </w:rPr>
        <w:t xml:space="preserve">Mandatory security awareness training at onboarding.</w:t>
      </w:r>
    </w:p>
    <w:p>
      <w:pPr>
        <w:pStyle w:val="Heading2"/>
        <w:spacing w:after="120" w:before="180"/>
      </w:pPr>
      <w:r>
        <w:rPr>
          <w:rFonts w:ascii="Arial" w:cs="Arial" w:eastAsia="Arial" w:hAnsi="Arial"/>
          <w:b/>
          <w:bCs/>
          <w:color w:val="111111"/>
          <w:sz w:val="26"/>
          <w:szCs w:val="26"/>
        </w:rPr>
        <w:t xml:space="preserve">Incident response</w:t>
      </w:r>
    </w:p>
    <w:p>
      <w:pPr>
        <w:pStyle w:val="ListParagraph"/>
        <w:numPr>
          <w:ilvl w:val="0"/>
          <w:numId w:val="2"/>
        </w:numPr>
        <w:spacing w:after="80"/>
      </w:pPr>
      <w:r>
        <w:rPr>
          <w:rFonts w:ascii="Arial" w:cs="Arial" w:eastAsia="Arial" w:hAnsi="Arial"/>
          <w:color w:val="111111"/>
          <w:sz w:val="22"/>
          <w:szCs w:val="22"/>
        </w:rPr>
        <w:t xml:space="preserve">Documented incident-response process with defined severity tiers and notification timelines.</w:t>
      </w:r>
    </w:p>
    <w:p>
      <w:pPr>
        <w:pStyle w:val="ListParagraph"/>
        <w:numPr>
          <w:ilvl w:val="0"/>
          <w:numId w:val="2"/>
        </w:numPr>
        <w:spacing w:after="80"/>
      </w:pPr>
      <w:r>
        <w:rPr>
          <w:rFonts w:ascii="Arial" w:cs="Arial" w:eastAsia="Arial" w:hAnsi="Arial"/>
          <w:color w:val="111111"/>
          <w:sz w:val="22"/>
          <w:szCs w:val="22"/>
        </w:rPr>
        <w:t xml:space="preserve">Tabletop exercise reviewed at least annually.</w:t>
      </w:r>
    </w:p>
    <w:p>
      <w:pPr>
        <w:pStyle w:val="ListParagraph"/>
        <w:numPr>
          <w:ilvl w:val="0"/>
          <w:numId w:val="2"/>
        </w:numPr>
        <w:spacing w:after="80"/>
      </w:pPr>
      <w:r>
        <w:rPr>
          <w:rFonts w:ascii="Arial" w:cs="Arial" w:eastAsia="Arial" w:hAnsi="Arial"/>
          <w:color w:val="111111"/>
          <w:sz w:val="22"/>
          <w:szCs w:val="22"/>
        </w:rPr>
        <w:t xml:space="preserve">Post-incident review with corrective-action tracking.</w:t>
      </w:r>
    </w:p>
    <w:p>
      <w:pPr>
        <w:spacing w:before="360"/>
      </w:pPr>
      <w:r>
        <w:rPr>
          <w:rFonts w:ascii="Arial" w:cs="Arial" w:eastAsia="Arial" w:hAnsi="Arial"/>
          <w:i/>
          <w:iCs/>
          <w:color w:val="555555"/>
          <w:sz w:val="18"/>
          <w:szCs w:val="18"/>
        </w:rPr>
        <w:t xml:space="preserve">Template note: This DPA template covers common US and EU data-protection obligations for a small SaaS. It is not legal advice. Before relying on it in a customer agreement, you should have it reviewed by a licensed attorney familiar with data-protection regulation in the customer's jurisdiction.</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8"/>
        <w:szCs w:val="18"/>
      </w:rPr>
      <w:t xml:space="preserve">Page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of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888888"/>
        <w:sz w:val="18"/>
        <w:szCs w:val="18"/>
      </w:rPr>
      <w:t xml:space="preserve">PlanCheckNow — Data Processing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Arial" w:cs="Arial" w:eastAsia="Arial" w:hAnsi="Arial"/>
      <w:b/>
      <w:bCs/>
      <w:sz w:val="32"/>
      <w:szCs w:val="32"/>
    </w:rPr>
  </w:style>
  <w:style w:type="paragraph" w:styleId="Heading2">
    <w:name w:val="Heading 2"/>
    <w:basedOn w:val="Normal"/>
    <w:next w:val="Normal"/>
    <w:qFormat/>
    <w:pPr>
      <w:spacing w:after="120" w:before="18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PlanCheckNow Data Processing Agreement</dc:title>
  <dc:creator>PlanCheckNow</dc:creator>
  <dc:description>DPA template for B2B customers of PlanCheckNow.</dc:description>
  <cp:lastModifiedBy>Un-named</cp:lastModifiedBy>
  <cp:revision>1</cp:revision>
  <dcterms:created xsi:type="dcterms:W3CDTF">2026-06-02T20:14:35.075Z</dcterms:created>
  <dcterms:modified xsi:type="dcterms:W3CDTF">2026-06-02T20:14:35.076Z</dcterms:modified>
</cp:coreProperties>
</file>

<file path=docProps/custom.xml><?xml version="1.0" encoding="utf-8"?>
<Properties xmlns="http://schemas.openxmlformats.org/officeDocument/2006/custom-properties" xmlns:vt="http://schemas.openxmlformats.org/officeDocument/2006/docPropsVTypes"/>
</file>